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4211" w:rsidRPr="002F4211" w:rsidRDefault="002F4211" w:rsidP="002F4211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2F4211">
        <w:rPr>
          <w:b/>
          <w:bCs/>
          <w:color w:val="333333"/>
          <w:sz w:val="28"/>
          <w:szCs w:val="28"/>
        </w:rPr>
        <w:t xml:space="preserve">Новый 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</w:t>
      </w:r>
    </w:p>
    <w:bookmarkEnd w:id="0"/>
    <w:p w:rsidR="002F4211" w:rsidRPr="002F4211" w:rsidRDefault="002F4211" w:rsidP="002F4211">
      <w:pPr>
        <w:contextualSpacing/>
        <w:rPr>
          <w:color w:val="333333"/>
          <w:sz w:val="28"/>
          <w:szCs w:val="28"/>
        </w:rPr>
      </w:pP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С 01 марта 2023 года вступают в силу новые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утвержденные постановлением Правительства Российской Федерации от 21.10.2022 № 1882.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Освидетельствование на состояние алкогольного опьянения проводится в отношении лица, которое управляет транспортным средством,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ст. 12.24 КоАП РФ.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Процедура освидетельствования на состояние алкогольного опьянения в отношении водителя проводится должностным лицом ОГИБДД в присутствии 2 понятых либо с применением видеозаписи и осуществляется с использованием специальных средств измерений утвержденного типа, обеспечивающих запись результатов измерения на бумажном носителе, поверенных в установленном законом порядке.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Перед освидетельствованием должностное лицо ОГИБДД информирует водителя о порядке освидетельствования с применением средства измерения и наличии сведений о результатах поверки этого средства, после чего проводит отбор пробы выдыхаемого водителем воздуха в соответствии с руководством по эксплуатации используемого средства измерения. Факт употребления алкоголя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 Результаты освидетельствования отражаются в специальном акте, копия которого вручается водителю.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Направление на медицинское освидетельствование на состояние опьянения в медицинские организации осуществляется должностным лицом ОГИБДД в присутствии 2 понятых либо с применением видеозаписи при отказе водителя транспортного средства от прохождения освидетельствования на состояние алкогольного опьянения, при его несогласии с результатами освидетельствования на состояние алкогольного опьянения, а также при наличии достаточных оснований полагать, что водитель транспортного средства находится в состоянии опьянения и отрицательном результате освидетельствования.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lastRenderedPageBreak/>
        <w:t>О направлении на медицинское освидетельствование составляется протокол, копия которого вручается водителю.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За управление транспортным средством в состоянии опьянения действующим законодательством Российской Федерации предусмотрена административная и уголовная ответственность. Указанные нормы закона закреплены в ст. 12.8 КоАП РФ и ст. 264.1 УК РФ.Невыполнение водителем транспортного средства требования о прохождении медицинского освидетельствования на состояние опьянения влечет административную ответственность в соответствии со ст. 12.26 КоАП РФ.</w:t>
      </w:r>
    </w:p>
    <w:p w:rsidR="00E922BF" w:rsidRPr="00AA00DD" w:rsidRDefault="00E922BF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46429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54DCD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2023-02-17T10:02:00Z</dcterms:created>
  <dcterms:modified xsi:type="dcterms:W3CDTF">2023-02-17T10:02:00Z</dcterms:modified>
</cp:coreProperties>
</file>